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4D5" w:rsidRDefault="00CE24D5" w:rsidP="00CE24D5">
      <w:pPr>
        <w:jc w:val="center"/>
      </w:pPr>
    </w:p>
    <w:p w:rsidR="00CE24D5" w:rsidRDefault="00CE24D5" w:rsidP="00CE24D5">
      <w:pPr>
        <w:jc w:val="center"/>
      </w:pPr>
    </w:p>
    <w:p w:rsidR="00CE24D5" w:rsidRDefault="00CE24D5" w:rsidP="00CE24D5">
      <w:pPr>
        <w:jc w:val="center"/>
      </w:pPr>
    </w:p>
    <w:p w:rsidR="00CE24D5" w:rsidRDefault="00CE24D5" w:rsidP="00CE24D5">
      <w:pPr>
        <w:jc w:val="center"/>
      </w:pPr>
    </w:p>
    <w:p w:rsidR="00CE24D5" w:rsidRDefault="00CE24D5" w:rsidP="00CE24D5">
      <w:pPr>
        <w:jc w:val="center"/>
      </w:pPr>
    </w:p>
    <w:p w:rsidR="00CE24D5" w:rsidRDefault="00CE24D5" w:rsidP="00CE24D5">
      <w:pPr>
        <w:jc w:val="center"/>
      </w:pPr>
    </w:p>
    <w:p w:rsidR="00B77AB9" w:rsidRDefault="00CE24D5" w:rsidP="00CE24D5">
      <w:pPr>
        <w:jc w:val="center"/>
      </w:pPr>
      <w:bookmarkStart w:id="0" w:name="_GoBack"/>
      <w:r>
        <w:t xml:space="preserve">Gun Control Impacts </w:t>
      </w:r>
      <w:bookmarkEnd w:id="0"/>
      <w:r>
        <w:t>&amp; the Second Amendment</w:t>
      </w:r>
    </w:p>
    <w:p w:rsidR="00CE24D5" w:rsidRDefault="00CE24D5" w:rsidP="00CE24D5">
      <w:pPr>
        <w:jc w:val="center"/>
      </w:pPr>
      <w:r>
        <w:t>Student’s Name</w:t>
      </w:r>
    </w:p>
    <w:p w:rsidR="00CE24D5" w:rsidRDefault="00CE24D5" w:rsidP="00CE24D5">
      <w:pPr>
        <w:jc w:val="center"/>
      </w:pPr>
      <w:r>
        <w:t>Institution</w:t>
      </w:r>
    </w:p>
    <w:p w:rsidR="00CE24D5" w:rsidRDefault="00CE24D5">
      <w:pPr>
        <w:spacing w:line="276" w:lineRule="auto"/>
      </w:pPr>
      <w:r>
        <w:br w:type="page"/>
      </w:r>
    </w:p>
    <w:p w:rsidR="00CE24D5" w:rsidRDefault="00CE24D5" w:rsidP="00CE24D5">
      <w:pPr>
        <w:jc w:val="center"/>
      </w:pPr>
      <w:r>
        <w:lastRenderedPageBreak/>
        <w:t>Gun Control Impacts &amp; the Second Amendment</w:t>
      </w:r>
    </w:p>
    <w:p w:rsidR="00CE24D5" w:rsidRDefault="00CE24D5" w:rsidP="00CE24D5">
      <w:pPr>
        <w:ind w:firstLine="720"/>
      </w:pPr>
      <w:r>
        <w:t xml:space="preserve">Wu </w:t>
      </w:r>
      <w:r w:rsidR="00963B24">
        <w:t xml:space="preserve">(2018) </w:t>
      </w:r>
      <w:r>
        <w:t>analyzed the attitudes of youths towards gun control and gun rights. He surveyed the American high school students by considering their drive to commit a crime. Wu found that youths normally engage in crime such as taking part in shooting other students in school or revelers in social joints as some may be suffering from psychiatric disorders and trauma (Wu, 2018). The second amendment encodes the ownership of guns is aimed at enhancing one’s self-defense which is currently being abused. It is baffling for youths in school settings to acquire guns as they pose a serious security threat to their counterparts in learning institutions. Wu analyses the youths’ attitude as far as gun control is concerned among American high school students. Those who identify as Democrats and Independents assign to the opinion that some states have loose gun laws hence low rates of gun violence thereby emphasizing their support to gun rights. On the other hand, Republicans have been less supportive of gun rights due to lose gun control laws which have increased the rate of gun violence in America.</w:t>
      </w:r>
    </w:p>
    <w:p w:rsidR="00CE24D5" w:rsidRDefault="00CE24D5" w:rsidP="00CE24D5">
      <w:pPr>
        <w:ind w:firstLine="720"/>
      </w:pPr>
      <w:r>
        <w:t xml:space="preserve">Hay (2018) determined the importance of controlling the possession of firearms by undocumented immigrants living in America. His explanation was emphasized by the Federal Gun Control Act of 1968 which averts ownership of guns by undocumented aliens as they may risk other people’s lives. As held by Chief Justice Rehnquist, the possession of guns among aliens is considered unlawful. Controlling the ownership of guns among the undocumented immigrants in America has to be taken seriously to ensure that the security of the natives of America is reinforced. The government ought to limit the possession of guns by people whose agendas stay in America is not known (Hay, 2018). They may use the firearms to harm others leading to casualties and deaths. The second amendment of the constitution of America gives people the right to owning guns but it revokes this opportunity when one is found culpable of </w:t>
      </w:r>
      <w:r>
        <w:lastRenderedPageBreak/>
        <w:t>using them to hurt others. Some aliens in the country may own guns and their motive to protect themselves for defense might be over-exercised and harm other people’s lives. Therefore, there is a need for the government to implement measures determined in resolving the problem of ownership of firearms by undocumented people.</w:t>
      </w:r>
    </w:p>
    <w:p w:rsidR="00CE24D5" w:rsidRDefault="00CE24D5" w:rsidP="00CE24D5">
      <w:pPr>
        <w:ind w:firstLine="720"/>
      </w:pPr>
      <w:r>
        <w:t>Cook states the challenges which come along with the control of firearms in a free society. His argument was that in a country where people can easily acquire firearms, issues of insecurity are expected to rise. That is, most people have ease of accessing guns which they use to commit crimes like theft, and burglary. The rate of wrongdoing will likely increase when America has not legalized frameworks that seek to avert ownership of guns by people whose criminal backgrounds are not well known (Cook, 2018). The country ought to put much consideration on a person’s criminal background, mental health as well as the age limits of people who would like to acquire firearms. In so doing, it will understand whether owners of firearms are of good sound-mind and have the ability to use guns meaningfully.</w:t>
      </w:r>
    </w:p>
    <w:p w:rsidR="00CE24D5" w:rsidRDefault="00CE24D5" w:rsidP="00CE24D5">
      <w:pPr>
        <w:ind w:firstLine="720"/>
      </w:pPr>
      <w:r>
        <w:t xml:space="preserve">The second amendment to the United States Constitution advocates for the protection of individual rights in keeping and bearing firearms. This right can be revoked when a person owning a gun is found to have a mental illness or committed felony. The right of possessing guns by an individual can be withdrawn by the constitution upon finding one to be guilty of infringing the right. This includes committing crimes by shooting people who have no intention of posing security risks like in schools. Osuna (2019) delineates the imposition of stricter gun control measures which has the objective of alleviating mass shootings in institutions of higher learning. He highlights the significance of gun restrictions which will help reduce the instances of careless shootings. From his research, he found that regardless of political affiliation, enacting stricter gun control measures plays an instrumental role in people being able to acquire guns. Normally, </w:t>
      </w:r>
      <w:r>
        <w:lastRenderedPageBreak/>
        <w:t xml:space="preserve">some people tend to go against the country’s regulations and own guns without following the guidelines set up in the constitution (Osuna, 2019). This challenge has resulted in the wrongful ownership of firearms among certain individuals in the country. Hence there is a probability of increased cases of mass shootings.  </w:t>
      </w:r>
    </w:p>
    <w:p w:rsidR="00C37A0D" w:rsidRDefault="00C37A0D" w:rsidP="00CE24D5">
      <w:pPr>
        <w:ind w:firstLine="720"/>
        <w:jc w:val="center"/>
      </w:pPr>
    </w:p>
    <w:p w:rsidR="00C37A0D" w:rsidRDefault="00C37A0D" w:rsidP="00CE24D5">
      <w:pPr>
        <w:ind w:firstLine="720"/>
        <w:jc w:val="center"/>
      </w:pPr>
    </w:p>
    <w:p w:rsidR="00C37A0D" w:rsidRDefault="00C37A0D" w:rsidP="00CE24D5">
      <w:pPr>
        <w:ind w:firstLine="720"/>
        <w:jc w:val="center"/>
      </w:pPr>
    </w:p>
    <w:p w:rsidR="00C37A0D" w:rsidRDefault="00C37A0D" w:rsidP="00CE24D5">
      <w:pPr>
        <w:ind w:firstLine="720"/>
        <w:jc w:val="center"/>
      </w:pPr>
    </w:p>
    <w:p w:rsidR="00C37A0D" w:rsidRDefault="00C37A0D" w:rsidP="00CE24D5">
      <w:pPr>
        <w:ind w:firstLine="720"/>
        <w:jc w:val="center"/>
      </w:pPr>
    </w:p>
    <w:p w:rsidR="00C37A0D" w:rsidRDefault="00C37A0D" w:rsidP="00CE24D5">
      <w:pPr>
        <w:ind w:firstLine="720"/>
        <w:jc w:val="center"/>
      </w:pPr>
    </w:p>
    <w:p w:rsidR="00C37A0D" w:rsidRDefault="00C37A0D" w:rsidP="00CE24D5">
      <w:pPr>
        <w:ind w:firstLine="720"/>
        <w:jc w:val="center"/>
      </w:pPr>
    </w:p>
    <w:p w:rsidR="00C37A0D" w:rsidRDefault="00C37A0D" w:rsidP="00CE24D5">
      <w:pPr>
        <w:ind w:firstLine="720"/>
        <w:jc w:val="center"/>
      </w:pPr>
    </w:p>
    <w:p w:rsidR="00C37A0D" w:rsidRDefault="00C37A0D" w:rsidP="00CE24D5">
      <w:pPr>
        <w:ind w:firstLine="720"/>
        <w:jc w:val="center"/>
      </w:pPr>
    </w:p>
    <w:p w:rsidR="00C37A0D" w:rsidRDefault="00C37A0D" w:rsidP="00CE24D5">
      <w:pPr>
        <w:ind w:firstLine="720"/>
        <w:jc w:val="center"/>
      </w:pPr>
    </w:p>
    <w:p w:rsidR="00C37A0D" w:rsidRDefault="00C37A0D" w:rsidP="00CE24D5">
      <w:pPr>
        <w:ind w:firstLine="720"/>
        <w:jc w:val="center"/>
      </w:pPr>
    </w:p>
    <w:p w:rsidR="00C37A0D" w:rsidRDefault="00C37A0D" w:rsidP="00CE24D5">
      <w:pPr>
        <w:ind w:firstLine="720"/>
        <w:jc w:val="center"/>
      </w:pPr>
    </w:p>
    <w:p w:rsidR="00C37A0D" w:rsidRDefault="00C37A0D" w:rsidP="00CE24D5">
      <w:pPr>
        <w:ind w:firstLine="720"/>
        <w:jc w:val="center"/>
      </w:pPr>
    </w:p>
    <w:p w:rsidR="00C37A0D" w:rsidRDefault="00C37A0D" w:rsidP="00CE24D5">
      <w:pPr>
        <w:ind w:firstLine="720"/>
        <w:jc w:val="center"/>
      </w:pPr>
    </w:p>
    <w:p w:rsidR="00CE24D5" w:rsidRDefault="00CE24D5" w:rsidP="00CE24D5">
      <w:pPr>
        <w:ind w:firstLine="720"/>
        <w:jc w:val="center"/>
      </w:pPr>
      <w:r>
        <w:lastRenderedPageBreak/>
        <w:t>References</w:t>
      </w:r>
    </w:p>
    <w:p w:rsidR="00CE24D5" w:rsidRPr="00F82483" w:rsidRDefault="00CE24D5" w:rsidP="00CE24D5">
      <w:pPr>
        <w:ind w:left="720" w:hanging="720"/>
        <w:rPr>
          <w:rFonts w:cs="Times New Roman"/>
          <w:color w:val="222222"/>
          <w:szCs w:val="24"/>
          <w:shd w:val="clear" w:color="auto" w:fill="FFFFFF"/>
        </w:rPr>
      </w:pPr>
      <w:r w:rsidRPr="00F82483">
        <w:rPr>
          <w:rFonts w:cs="Times New Roman"/>
          <w:color w:val="222222"/>
          <w:szCs w:val="24"/>
          <w:shd w:val="clear" w:color="auto" w:fill="FFFFFF"/>
        </w:rPr>
        <w:t>Cook, P. J. (2018). Challenge of firearms control in a free society. </w:t>
      </w:r>
      <w:r w:rsidRPr="00F82483">
        <w:rPr>
          <w:rFonts w:cs="Times New Roman"/>
          <w:i/>
          <w:iCs/>
          <w:color w:val="222222"/>
          <w:szCs w:val="24"/>
          <w:shd w:val="clear" w:color="auto" w:fill="FFFFFF"/>
        </w:rPr>
        <w:t>Criminology &amp; Public Policy</w:t>
      </w:r>
      <w:r w:rsidRPr="00F82483">
        <w:rPr>
          <w:rFonts w:cs="Times New Roman"/>
          <w:color w:val="222222"/>
          <w:szCs w:val="24"/>
          <w:shd w:val="clear" w:color="auto" w:fill="FFFFFF"/>
        </w:rPr>
        <w:t>, </w:t>
      </w:r>
      <w:r w:rsidRPr="00F82483">
        <w:rPr>
          <w:rFonts w:cs="Times New Roman"/>
          <w:i/>
          <w:iCs/>
          <w:color w:val="222222"/>
          <w:szCs w:val="24"/>
          <w:shd w:val="clear" w:color="auto" w:fill="FFFFFF"/>
        </w:rPr>
        <w:t>17</w:t>
      </w:r>
      <w:r w:rsidRPr="00F82483">
        <w:rPr>
          <w:rFonts w:cs="Times New Roman"/>
          <w:color w:val="222222"/>
          <w:szCs w:val="24"/>
          <w:shd w:val="clear" w:color="auto" w:fill="FFFFFF"/>
        </w:rPr>
        <w:t>(2), 437-451.</w:t>
      </w:r>
    </w:p>
    <w:p w:rsidR="00CE24D5" w:rsidRPr="00F82483" w:rsidRDefault="00CE24D5" w:rsidP="00CE24D5">
      <w:pPr>
        <w:ind w:left="720" w:hanging="720"/>
        <w:rPr>
          <w:rFonts w:cs="Times New Roman"/>
          <w:color w:val="222222"/>
          <w:szCs w:val="24"/>
          <w:shd w:val="clear" w:color="auto" w:fill="FFFFFF"/>
        </w:rPr>
      </w:pPr>
      <w:r w:rsidRPr="00F82483">
        <w:rPr>
          <w:rFonts w:cs="Times New Roman"/>
          <w:color w:val="222222"/>
          <w:szCs w:val="24"/>
          <w:shd w:val="clear" w:color="auto" w:fill="FFFFFF"/>
        </w:rPr>
        <w:t>Hay, J. (2018). The Second Amendment, Undocumented Immigrants, and the Shifting Definition of “People”: How the Federal Gun Control Act of 1968 Prevents Undocumented Immigrants from Exercising Second Amendment Rights. </w:t>
      </w:r>
      <w:r w:rsidRPr="00F82483">
        <w:rPr>
          <w:rFonts w:cs="Times New Roman"/>
          <w:i/>
          <w:iCs/>
          <w:color w:val="222222"/>
          <w:szCs w:val="24"/>
          <w:shd w:val="clear" w:color="auto" w:fill="FFFFFF"/>
        </w:rPr>
        <w:t>University of Cincinnati Law Review</w:t>
      </w:r>
      <w:r w:rsidRPr="00F82483">
        <w:rPr>
          <w:rFonts w:cs="Times New Roman"/>
          <w:color w:val="222222"/>
          <w:szCs w:val="24"/>
          <w:shd w:val="clear" w:color="auto" w:fill="FFFFFF"/>
        </w:rPr>
        <w:t>, </w:t>
      </w:r>
      <w:r w:rsidRPr="00F82483">
        <w:rPr>
          <w:rFonts w:cs="Times New Roman"/>
          <w:i/>
          <w:iCs/>
          <w:color w:val="222222"/>
          <w:szCs w:val="24"/>
          <w:shd w:val="clear" w:color="auto" w:fill="FFFFFF"/>
        </w:rPr>
        <w:t>87</w:t>
      </w:r>
      <w:r w:rsidRPr="00F82483">
        <w:rPr>
          <w:rFonts w:cs="Times New Roman"/>
          <w:color w:val="222222"/>
          <w:szCs w:val="24"/>
          <w:shd w:val="clear" w:color="auto" w:fill="FFFFFF"/>
        </w:rPr>
        <w:t>(2), 571.</w:t>
      </w:r>
    </w:p>
    <w:p w:rsidR="00CE24D5" w:rsidRPr="00F82483" w:rsidRDefault="00CE24D5" w:rsidP="00CE24D5">
      <w:pPr>
        <w:ind w:left="720" w:hanging="720"/>
        <w:rPr>
          <w:rFonts w:cs="Times New Roman"/>
          <w:szCs w:val="24"/>
        </w:rPr>
      </w:pPr>
      <w:r w:rsidRPr="00F82483">
        <w:rPr>
          <w:rFonts w:cs="Times New Roman"/>
          <w:color w:val="222222"/>
          <w:szCs w:val="24"/>
          <w:shd w:val="clear" w:color="auto" w:fill="FFFFFF"/>
        </w:rPr>
        <w:t>Osuna, M. J. R. (2019). </w:t>
      </w:r>
      <w:r w:rsidRPr="00F82483">
        <w:rPr>
          <w:rFonts w:cs="Times New Roman"/>
          <w:i/>
          <w:iCs/>
          <w:color w:val="222222"/>
          <w:szCs w:val="24"/>
          <w:shd w:val="clear" w:color="auto" w:fill="FFFFFF"/>
        </w:rPr>
        <w:t>Mass Shootings and Gun Sales: A Study on the Influence of Red and Blue Power</w:t>
      </w:r>
      <w:r w:rsidRPr="00F82483">
        <w:rPr>
          <w:rFonts w:cs="Times New Roman"/>
          <w:color w:val="222222"/>
          <w:szCs w:val="24"/>
          <w:shd w:val="clear" w:color="auto" w:fill="FFFFFF"/>
        </w:rPr>
        <w:t> (Doctoral dissertation, University of South Florida).</w:t>
      </w:r>
    </w:p>
    <w:p w:rsidR="00CE24D5" w:rsidRPr="00F82483" w:rsidRDefault="00CE24D5" w:rsidP="00CE24D5">
      <w:pPr>
        <w:ind w:left="720" w:hanging="720"/>
        <w:rPr>
          <w:rFonts w:cs="Times New Roman"/>
          <w:color w:val="222222"/>
          <w:szCs w:val="24"/>
          <w:shd w:val="clear" w:color="auto" w:fill="FFFFFF"/>
        </w:rPr>
      </w:pPr>
      <w:r w:rsidRPr="00F82483">
        <w:rPr>
          <w:rFonts w:cs="Times New Roman"/>
          <w:color w:val="222222"/>
          <w:szCs w:val="24"/>
          <w:shd w:val="clear" w:color="auto" w:fill="FFFFFF"/>
        </w:rPr>
        <w:t>Wu, S. (2018). The effects of cueing and framing on youth attitudes towards gun control and gun rights. </w:t>
      </w:r>
      <w:r w:rsidRPr="00F82483">
        <w:rPr>
          <w:rFonts w:cs="Times New Roman"/>
          <w:i/>
          <w:iCs/>
          <w:color w:val="222222"/>
          <w:szCs w:val="24"/>
          <w:shd w:val="clear" w:color="auto" w:fill="FFFFFF"/>
        </w:rPr>
        <w:t>Social Sciences</w:t>
      </w:r>
      <w:r w:rsidRPr="00F82483">
        <w:rPr>
          <w:rFonts w:cs="Times New Roman"/>
          <w:color w:val="222222"/>
          <w:szCs w:val="24"/>
          <w:shd w:val="clear" w:color="auto" w:fill="FFFFFF"/>
        </w:rPr>
        <w:t>, </w:t>
      </w:r>
      <w:r w:rsidRPr="00F82483">
        <w:rPr>
          <w:rFonts w:cs="Times New Roman"/>
          <w:i/>
          <w:iCs/>
          <w:color w:val="222222"/>
          <w:szCs w:val="24"/>
          <w:shd w:val="clear" w:color="auto" w:fill="FFFFFF"/>
        </w:rPr>
        <w:t>7</w:t>
      </w:r>
      <w:r w:rsidRPr="00F82483">
        <w:rPr>
          <w:rFonts w:cs="Times New Roman"/>
          <w:color w:val="222222"/>
          <w:szCs w:val="24"/>
          <w:shd w:val="clear" w:color="auto" w:fill="FFFFFF"/>
        </w:rPr>
        <w:t>(2), 29.</w:t>
      </w:r>
    </w:p>
    <w:p w:rsidR="00CE24D5" w:rsidRDefault="00CE24D5" w:rsidP="00CE24D5"/>
    <w:p w:rsidR="00CE24D5" w:rsidRDefault="00CE24D5" w:rsidP="00CE24D5">
      <w:r>
        <w:t xml:space="preserve"> </w:t>
      </w:r>
    </w:p>
    <w:p w:rsidR="00CE24D5" w:rsidRDefault="00CE24D5" w:rsidP="00CE24D5">
      <w:r>
        <w:t xml:space="preserve"> </w:t>
      </w:r>
    </w:p>
    <w:p w:rsidR="00CE24D5" w:rsidRDefault="00CE24D5" w:rsidP="00CE24D5">
      <w:r>
        <w:t xml:space="preserve"> </w:t>
      </w:r>
    </w:p>
    <w:p w:rsidR="00CE24D5" w:rsidRDefault="00CE24D5" w:rsidP="00CE24D5">
      <w:r>
        <w:t xml:space="preserve"> </w:t>
      </w:r>
    </w:p>
    <w:p w:rsidR="00CE24D5" w:rsidRPr="00EA46DD" w:rsidRDefault="00CE24D5" w:rsidP="00CE24D5"/>
    <w:p w:rsidR="00CE24D5" w:rsidRPr="00CE24D5" w:rsidRDefault="00CE24D5" w:rsidP="00CE24D5">
      <w:pPr>
        <w:jc w:val="center"/>
      </w:pPr>
    </w:p>
    <w:sectPr w:rsidR="00CE24D5" w:rsidRPr="00CE24D5" w:rsidSect="00CE24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58F" w:rsidRDefault="0014358F" w:rsidP="00CE24D5">
      <w:pPr>
        <w:spacing w:after="0" w:line="240" w:lineRule="auto"/>
      </w:pPr>
      <w:r>
        <w:separator/>
      </w:r>
    </w:p>
  </w:endnote>
  <w:endnote w:type="continuationSeparator" w:id="0">
    <w:p w:rsidR="0014358F" w:rsidRDefault="0014358F" w:rsidP="00CE2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58F" w:rsidRDefault="0014358F" w:rsidP="00CE24D5">
      <w:pPr>
        <w:spacing w:after="0" w:line="240" w:lineRule="auto"/>
      </w:pPr>
      <w:r>
        <w:separator/>
      </w:r>
    </w:p>
  </w:footnote>
  <w:footnote w:type="continuationSeparator" w:id="0">
    <w:p w:rsidR="0014358F" w:rsidRDefault="0014358F" w:rsidP="00CE2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65040"/>
      <w:docPartObj>
        <w:docPartGallery w:val="Page Numbers (Top of Page)"/>
        <w:docPartUnique/>
      </w:docPartObj>
    </w:sdtPr>
    <w:sdtEndPr/>
    <w:sdtContent>
      <w:p w:rsidR="00CE24D5" w:rsidRDefault="00CE24D5">
        <w:pPr>
          <w:pStyle w:val="Header"/>
          <w:jc w:val="right"/>
        </w:pPr>
        <w:r>
          <w:t>GUN CONTROL IMPACTS &amp; THE SECOND AMENDMENT</w:t>
        </w:r>
        <w:r>
          <w:tab/>
        </w:r>
        <w:r w:rsidR="0014358F">
          <w:fldChar w:fldCharType="begin"/>
        </w:r>
        <w:r w:rsidR="0014358F">
          <w:instrText xml:space="preserve"> PAGE   \* MERGEFORMAT </w:instrText>
        </w:r>
        <w:r w:rsidR="0014358F">
          <w:fldChar w:fldCharType="separate"/>
        </w:r>
        <w:r w:rsidR="00E6163C">
          <w:rPr>
            <w:noProof/>
          </w:rPr>
          <w:t>2</w:t>
        </w:r>
        <w:r w:rsidR="0014358F">
          <w:rPr>
            <w:noProof/>
          </w:rPr>
          <w:fldChar w:fldCharType="end"/>
        </w:r>
      </w:p>
    </w:sdtContent>
  </w:sdt>
  <w:p w:rsidR="00CE24D5" w:rsidRDefault="00CE24D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4D5" w:rsidRDefault="00CE24D5">
    <w:pPr>
      <w:pStyle w:val="Header"/>
    </w:pPr>
    <w:r>
      <w:t>Running Head: GUN CONTROL IMPACTS &amp; THE SECOND AMENDMENT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7B4"/>
    <w:rsid w:val="0014358F"/>
    <w:rsid w:val="003717B4"/>
    <w:rsid w:val="003842A8"/>
    <w:rsid w:val="00385188"/>
    <w:rsid w:val="0047482D"/>
    <w:rsid w:val="00514D12"/>
    <w:rsid w:val="005F68FB"/>
    <w:rsid w:val="0066480F"/>
    <w:rsid w:val="006B3AA6"/>
    <w:rsid w:val="0081025D"/>
    <w:rsid w:val="008F7AB9"/>
    <w:rsid w:val="00963B24"/>
    <w:rsid w:val="0097786C"/>
    <w:rsid w:val="00A21216"/>
    <w:rsid w:val="00AA5FC1"/>
    <w:rsid w:val="00AB67E7"/>
    <w:rsid w:val="00B44135"/>
    <w:rsid w:val="00B77AB9"/>
    <w:rsid w:val="00C37A0D"/>
    <w:rsid w:val="00CE24D5"/>
    <w:rsid w:val="00E6163C"/>
    <w:rsid w:val="00E64809"/>
    <w:rsid w:val="00EA4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776132-2597-428C-809F-9CEAD27AD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4D5"/>
    <w:rPr>
      <w:rFonts w:ascii="Times New Roman" w:hAnsi="Times New Roman"/>
      <w:sz w:val="24"/>
    </w:rPr>
  </w:style>
  <w:style w:type="paragraph" w:styleId="Footer">
    <w:name w:val="footer"/>
    <w:basedOn w:val="Normal"/>
    <w:link w:val="FooterChar"/>
    <w:uiPriority w:val="99"/>
    <w:semiHidden/>
    <w:unhideWhenUsed/>
    <w:rsid w:val="00CE24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24D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2019-10-04T21:00:00Z</dcterms:created>
  <dcterms:modified xsi:type="dcterms:W3CDTF">2019-10-04T21:00:00Z</dcterms:modified>
</cp:coreProperties>
</file>